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1D" w:rsidRDefault="009E3D1D" w:rsidP="009E3D1D">
      <w:pPr>
        <w:spacing w:after="0" w:line="240" w:lineRule="auto"/>
      </w:pPr>
      <w:r>
        <w:t xml:space="preserve">John Gillingham, All Rights Reserved, 2015 </w:t>
      </w:r>
      <w:proofErr w:type="gramStart"/>
      <w:r>
        <w:t>For</w:t>
      </w:r>
      <w:proofErr w:type="gramEnd"/>
      <w:r>
        <w:t xml:space="preserve"> educational purposes only.</w:t>
      </w:r>
    </w:p>
    <w:p w:rsidR="00543A8D" w:rsidRDefault="00543A8D" w:rsidP="00543A8D">
      <w:pPr>
        <w:spacing w:after="0"/>
        <w:jc w:val="center"/>
        <w:rPr>
          <w:rFonts w:cstheme="minorHAnsi"/>
          <w:i/>
          <w:sz w:val="24"/>
          <w:szCs w:val="24"/>
        </w:rPr>
      </w:pPr>
      <w:bookmarkStart w:id="0" w:name="_GoBack"/>
      <w:bookmarkEnd w:id="0"/>
    </w:p>
    <w:p w:rsidR="00543A8D" w:rsidRDefault="00543A8D" w:rsidP="00543A8D">
      <w:pPr>
        <w:spacing w:after="0"/>
        <w:jc w:val="center"/>
        <w:rPr>
          <w:rFonts w:cstheme="minorHAnsi"/>
          <w:i/>
          <w:sz w:val="24"/>
          <w:szCs w:val="24"/>
        </w:rPr>
      </w:pPr>
    </w:p>
    <w:p w:rsidR="00FB33D6" w:rsidRPr="00AA6C21" w:rsidRDefault="00FB33D6" w:rsidP="00543A8D">
      <w:pPr>
        <w:spacing w:after="0"/>
        <w:jc w:val="center"/>
        <w:rPr>
          <w:rFonts w:cstheme="minorHAnsi"/>
          <w:sz w:val="24"/>
          <w:szCs w:val="24"/>
        </w:rPr>
      </w:pPr>
      <w:r>
        <w:rPr>
          <w:rFonts w:cstheme="minorHAnsi"/>
          <w:i/>
          <w:sz w:val="24"/>
          <w:szCs w:val="24"/>
        </w:rPr>
        <w:t>Container Corp v. Franchise Tax Board</w:t>
      </w:r>
      <w:r w:rsidR="00543A8D">
        <w:rPr>
          <w:rFonts w:cstheme="minorHAnsi"/>
          <w:i/>
          <w:sz w:val="24"/>
          <w:szCs w:val="24"/>
        </w:rPr>
        <w:t xml:space="preserve"> Case Brief</w:t>
      </w:r>
    </w:p>
    <w:p w:rsidR="00543A8D" w:rsidRPr="00AA6C21" w:rsidRDefault="00543A8D" w:rsidP="00FB33D6">
      <w:pPr>
        <w:spacing w:after="0"/>
        <w:rPr>
          <w:rFonts w:cstheme="minorHAnsi"/>
          <w:sz w:val="24"/>
          <w:szCs w:val="24"/>
        </w:rPr>
      </w:pPr>
    </w:p>
    <w:p w:rsidR="00FB33D6" w:rsidRDefault="00FB33D6" w:rsidP="00FB33D6">
      <w:pPr>
        <w:spacing w:after="0"/>
        <w:rPr>
          <w:rFonts w:cstheme="minorHAnsi"/>
          <w:sz w:val="24"/>
          <w:szCs w:val="24"/>
        </w:rPr>
      </w:pPr>
      <w:r w:rsidRPr="00AA6C21">
        <w:rPr>
          <w:rFonts w:cstheme="minorHAnsi"/>
          <w:sz w:val="24"/>
          <w:szCs w:val="24"/>
        </w:rPr>
        <w:t>Facts:</w:t>
      </w:r>
    </w:p>
    <w:p w:rsidR="004438FB" w:rsidRDefault="004438FB" w:rsidP="00FB33D6">
      <w:pPr>
        <w:spacing w:after="0"/>
        <w:rPr>
          <w:rFonts w:cstheme="minorHAnsi"/>
          <w:sz w:val="24"/>
          <w:szCs w:val="24"/>
        </w:rPr>
      </w:pPr>
    </w:p>
    <w:p w:rsidR="004438FB" w:rsidRPr="00AA6C21" w:rsidRDefault="004438FB" w:rsidP="00FB33D6">
      <w:pPr>
        <w:spacing w:after="0"/>
        <w:rPr>
          <w:rFonts w:cstheme="minorHAnsi"/>
          <w:sz w:val="24"/>
          <w:szCs w:val="24"/>
        </w:rPr>
      </w:pPr>
      <w:r>
        <w:rPr>
          <w:rFonts w:cstheme="minorHAnsi"/>
          <w:sz w:val="24"/>
          <w:szCs w:val="24"/>
        </w:rPr>
        <w:t xml:space="preserve">Appellant is a paperboard packaging manufacturer as a Delaware corporation, </w:t>
      </w:r>
      <w:r w:rsidR="006D2576">
        <w:rPr>
          <w:rFonts w:cstheme="minorHAnsi"/>
          <w:sz w:val="24"/>
          <w:szCs w:val="24"/>
        </w:rPr>
        <w:t>headquartered</w:t>
      </w:r>
      <w:r>
        <w:rPr>
          <w:rFonts w:cstheme="minorHAnsi"/>
          <w:sz w:val="24"/>
          <w:szCs w:val="24"/>
        </w:rPr>
        <w:t xml:space="preserve"> in Illinois, and doing business in California and elsewhere. Appellant omitted all subsidiary payroll, property, and sales in applying the three-factor formula. California contended that all overseas subsidiaries should have been treated as its unitary business, not a passive investment. Appellant brought action for a refund in CA superior court. </w:t>
      </w:r>
    </w:p>
    <w:p w:rsidR="00FB33D6" w:rsidRPr="00AA6C21" w:rsidRDefault="00FB33D6" w:rsidP="00FB33D6">
      <w:pPr>
        <w:spacing w:after="0"/>
        <w:rPr>
          <w:rFonts w:cstheme="minorHAnsi"/>
          <w:sz w:val="24"/>
          <w:szCs w:val="24"/>
        </w:rPr>
      </w:pPr>
    </w:p>
    <w:p w:rsidR="00FB33D6" w:rsidRPr="00AA6C21" w:rsidRDefault="00FB33D6" w:rsidP="00FB33D6">
      <w:pPr>
        <w:spacing w:after="0"/>
        <w:rPr>
          <w:rFonts w:cstheme="minorHAnsi"/>
          <w:sz w:val="24"/>
          <w:szCs w:val="24"/>
        </w:rPr>
      </w:pPr>
      <w:r w:rsidRPr="00AA6C21">
        <w:rPr>
          <w:rFonts w:cstheme="minorHAnsi"/>
          <w:sz w:val="24"/>
          <w:szCs w:val="24"/>
        </w:rPr>
        <w:t>Law:</w:t>
      </w:r>
    </w:p>
    <w:p w:rsidR="000609B0" w:rsidRDefault="000609B0" w:rsidP="00FB33D6">
      <w:pPr>
        <w:spacing w:after="0"/>
        <w:rPr>
          <w:rFonts w:cstheme="minorHAnsi"/>
          <w:sz w:val="24"/>
          <w:szCs w:val="24"/>
        </w:rPr>
      </w:pPr>
    </w:p>
    <w:p w:rsidR="004438FB" w:rsidRPr="00AA6C21" w:rsidRDefault="004438FB" w:rsidP="00FB33D6">
      <w:pPr>
        <w:spacing w:after="0"/>
        <w:rPr>
          <w:rFonts w:cstheme="minorHAnsi"/>
          <w:sz w:val="24"/>
          <w:szCs w:val="24"/>
        </w:rPr>
      </w:pPr>
      <w:r>
        <w:rPr>
          <w:rFonts w:cstheme="minorHAnsi"/>
          <w:sz w:val="24"/>
          <w:szCs w:val="24"/>
        </w:rPr>
        <w:t xml:space="preserve">California employs a unitary business principle and formula apportionment to apply corporate franchise tax geared to income. </w:t>
      </w:r>
    </w:p>
    <w:p w:rsidR="00FB33D6" w:rsidRDefault="00FB33D6" w:rsidP="00FB33D6">
      <w:pPr>
        <w:spacing w:after="0"/>
        <w:rPr>
          <w:rFonts w:cstheme="minorHAnsi"/>
          <w:sz w:val="24"/>
          <w:szCs w:val="24"/>
        </w:rPr>
      </w:pPr>
    </w:p>
    <w:p w:rsidR="00FB33D6" w:rsidRPr="00AA6C21" w:rsidRDefault="00FB33D6" w:rsidP="00FB33D6">
      <w:pPr>
        <w:spacing w:after="0"/>
        <w:rPr>
          <w:rFonts w:cstheme="minorHAnsi"/>
          <w:sz w:val="24"/>
          <w:szCs w:val="24"/>
        </w:rPr>
      </w:pPr>
      <w:r w:rsidRPr="00AA6C21">
        <w:rPr>
          <w:rFonts w:cstheme="minorHAnsi"/>
          <w:sz w:val="24"/>
          <w:szCs w:val="24"/>
        </w:rPr>
        <w:t>Analysis:</w:t>
      </w:r>
    </w:p>
    <w:p w:rsidR="00FB33D6" w:rsidRDefault="00FB33D6" w:rsidP="00FB33D6">
      <w:pPr>
        <w:spacing w:after="0"/>
        <w:rPr>
          <w:rFonts w:cstheme="minorHAnsi"/>
          <w:sz w:val="24"/>
          <w:szCs w:val="24"/>
        </w:rPr>
      </w:pPr>
    </w:p>
    <w:p w:rsidR="004438FB" w:rsidRDefault="004438FB" w:rsidP="00FB33D6">
      <w:pPr>
        <w:spacing w:after="0"/>
        <w:rPr>
          <w:rFonts w:cstheme="minorHAnsi"/>
          <w:sz w:val="24"/>
          <w:szCs w:val="24"/>
        </w:rPr>
      </w:pPr>
      <w:r>
        <w:rPr>
          <w:rFonts w:cstheme="minorHAnsi"/>
          <w:sz w:val="24"/>
          <w:szCs w:val="24"/>
        </w:rPr>
        <w:t>The taxpayer has the burden of proof in demonstrating “clear and convincing evidence” that extraterritorial values were being tax. Such evidence would need to demonstrate that the foreign subsidiaries in question did not constitute a unitary business.</w:t>
      </w:r>
    </w:p>
    <w:p w:rsidR="00FB33D6" w:rsidRDefault="00FB33D6" w:rsidP="00FB33D6">
      <w:pPr>
        <w:spacing w:after="0"/>
        <w:rPr>
          <w:rFonts w:cstheme="minorHAnsi"/>
          <w:sz w:val="24"/>
          <w:szCs w:val="24"/>
        </w:rPr>
      </w:pPr>
    </w:p>
    <w:p w:rsidR="00FB33D6" w:rsidRDefault="00FB33D6" w:rsidP="00FB33D6">
      <w:pPr>
        <w:spacing w:after="0"/>
        <w:rPr>
          <w:rFonts w:cstheme="minorHAnsi"/>
          <w:sz w:val="24"/>
          <w:szCs w:val="24"/>
        </w:rPr>
      </w:pPr>
      <w:r w:rsidRPr="00AA6C21">
        <w:rPr>
          <w:rFonts w:cstheme="minorHAnsi"/>
          <w:sz w:val="24"/>
          <w:szCs w:val="24"/>
        </w:rPr>
        <w:t>Conclusion:</w:t>
      </w:r>
    </w:p>
    <w:p w:rsidR="00FB33D6" w:rsidRDefault="00FB33D6" w:rsidP="00FB33D6">
      <w:pPr>
        <w:spacing w:after="0"/>
        <w:rPr>
          <w:rFonts w:cstheme="minorHAnsi"/>
          <w:sz w:val="24"/>
          <w:szCs w:val="24"/>
        </w:rPr>
      </w:pPr>
    </w:p>
    <w:p w:rsidR="004438FB" w:rsidRPr="00AA6C21" w:rsidRDefault="004438FB" w:rsidP="00FB33D6">
      <w:pPr>
        <w:spacing w:after="0"/>
        <w:rPr>
          <w:rFonts w:cstheme="minorHAnsi"/>
          <w:sz w:val="24"/>
          <w:szCs w:val="24"/>
        </w:rPr>
      </w:pPr>
      <w:r>
        <w:rPr>
          <w:rFonts w:cstheme="minorHAnsi"/>
          <w:sz w:val="24"/>
          <w:szCs w:val="24"/>
        </w:rPr>
        <w:t xml:space="preserve">California’s use of the three-factor to apportionment is fair and applies to the appellant overseas income in determining the proper apportionment. </w:t>
      </w:r>
      <w:r w:rsidR="000609B0">
        <w:rPr>
          <w:rFonts w:cstheme="minorHAnsi"/>
          <w:sz w:val="24"/>
          <w:szCs w:val="24"/>
        </w:rPr>
        <w:t xml:space="preserve">The fact that the accounting records of the company did not make such differentiations in income sourcing is irrelevant to the argument. </w:t>
      </w:r>
    </w:p>
    <w:p w:rsidR="000F0534" w:rsidRPr="00FB33D6" w:rsidRDefault="000F0534" w:rsidP="00FB33D6"/>
    <w:sectPr w:rsidR="000F0534" w:rsidRPr="00FB3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D8" w:rsidRDefault="00DB52D8" w:rsidP="00543A8D">
      <w:pPr>
        <w:spacing w:after="0" w:line="240" w:lineRule="auto"/>
      </w:pPr>
      <w:r>
        <w:separator/>
      </w:r>
    </w:p>
  </w:endnote>
  <w:endnote w:type="continuationSeparator" w:id="0">
    <w:p w:rsidR="00DB52D8" w:rsidRDefault="00DB52D8" w:rsidP="0054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D8" w:rsidRDefault="00DB52D8" w:rsidP="00543A8D">
      <w:pPr>
        <w:spacing w:after="0" w:line="240" w:lineRule="auto"/>
      </w:pPr>
      <w:r>
        <w:separator/>
      </w:r>
    </w:p>
  </w:footnote>
  <w:footnote w:type="continuationSeparator" w:id="0">
    <w:p w:rsidR="00DB52D8" w:rsidRDefault="00DB52D8" w:rsidP="00543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34"/>
    <w:rsid w:val="000609B0"/>
    <w:rsid w:val="000F0534"/>
    <w:rsid w:val="004438FB"/>
    <w:rsid w:val="00543A8D"/>
    <w:rsid w:val="00564F21"/>
    <w:rsid w:val="00680EEC"/>
    <w:rsid w:val="006D2576"/>
    <w:rsid w:val="008D60C5"/>
    <w:rsid w:val="009E3D1D"/>
    <w:rsid w:val="00DB52D8"/>
    <w:rsid w:val="00E03037"/>
    <w:rsid w:val="00E4234F"/>
    <w:rsid w:val="00FB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E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FB33D6"/>
  </w:style>
  <w:style w:type="paragraph" w:styleId="NormalWeb">
    <w:name w:val="Normal (Web)"/>
    <w:basedOn w:val="Normal"/>
    <w:unhideWhenUsed/>
    <w:rsid w:val="00FB3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3D6"/>
    <w:rPr>
      <w:color w:val="0000FF"/>
      <w:u w:val="single"/>
    </w:rPr>
  </w:style>
  <w:style w:type="character" w:styleId="Strong">
    <w:name w:val="Strong"/>
    <w:qFormat/>
    <w:rsid w:val="00FB33D6"/>
    <w:rPr>
      <w:b/>
      <w:bCs/>
    </w:rPr>
  </w:style>
  <w:style w:type="paragraph" w:styleId="Header">
    <w:name w:val="header"/>
    <w:basedOn w:val="Normal"/>
    <w:link w:val="HeaderChar"/>
    <w:uiPriority w:val="99"/>
    <w:unhideWhenUsed/>
    <w:rsid w:val="0054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8D"/>
  </w:style>
  <w:style w:type="paragraph" w:styleId="Footer">
    <w:name w:val="footer"/>
    <w:basedOn w:val="Normal"/>
    <w:link w:val="FooterChar"/>
    <w:uiPriority w:val="99"/>
    <w:unhideWhenUsed/>
    <w:rsid w:val="0054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E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FB33D6"/>
  </w:style>
  <w:style w:type="paragraph" w:styleId="NormalWeb">
    <w:name w:val="Normal (Web)"/>
    <w:basedOn w:val="Normal"/>
    <w:unhideWhenUsed/>
    <w:rsid w:val="00FB3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3D6"/>
    <w:rPr>
      <w:color w:val="0000FF"/>
      <w:u w:val="single"/>
    </w:rPr>
  </w:style>
  <w:style w:type="character" w:styleId="Strong">
    <w:name w:val="Strong"/>
    <w:qFormat/>
    <w:rsid w:val="00FB33D6"/>
    <w:rPr>
      <w:b/>
      <w:bCs/>
    </w:rPr>
  </w:style>
  <w:style w:type="paragraph" w:styleId="Header">
    <w:name w:val="header"/>
    <w:basedOn w:val="Normal"/>
    <w:link w:val="HeaderChar"/>
    <w:uiPriority w:val="99"/>
    <w:unhideWhenUsed/>
    <w:rsid w:val="0054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8D"/>
  </w:style>
  <w:style w:type="paragraph" w:styleId="Footer">
    <w:name w:val="footer"/>
    <w:basedOn w:val="Normal"/>
    <w:link w:val="FooterChar"/>
    <w:uiPriority w:val="99"/>
    <w:unhideWhenUsed/>
    <w:rsid w:val="0054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Kit</cp:lastModifiedBy>
  <cp:revision>3</cp:revision>
  <dcterms:created xsi:type="dcterms:W3CDTF">2015-01-14T09:50:00Z</dcterms:created>
  <dcterms:modified xsi:type="dcterms:W3CDTF">2015-01-14T09:51:00Z</dcterms:modified>
</cp:coreProperties>
</file>