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1C" w:rsidRDefault="0030481C" w:rsidP="0030481C">
      <w:pPr>
        <w:spacing w:after="0" w:line="240" w:lineRule="auto"/>
      </w:pPr>
      <w:r>
        <w:t xml:space="preserve">John Gillingham, All Rights Reserved, 2015 </w:t>
      </w:r>
      <w:proofErr w:type="gramStart"/>
      <w:r>
        <w:t>For</w:t>
      </w:r>
      <w:proofErr w:type="gramEnd"/>
      <w:r>
        <w:t xml:space="preserve"> educational purposes only.</w:t>
      </w:r>
    </w:p>
    <w:p w:rsidR="00AA6C21" w:rsidRPr="00AA6C21" w:rsidRDefault="00AA6C21" w:rsidP="00AA6C21">
      <w:pPr>
        <w:spacing w:after="0"/>
        <w:rPr>
          <w:rFonts w:cstheme="minorHAnsi"/>
          <w:sz w:val="24"/>
          <w:szCs w:val="24"/>
        </w:rPr>
      </w:pPr>
    </w:p>
    <w:p w:rsidR="00BE220E" w:rsidRPr="00AA6C21" w:rsidRDefault="001E461F" w:rsidP="0030481C">
      <w:pPr>
        <w:spacing w:after="0"/>
        <w:jc w:val="center"/>
        <w:rPr>
          <w:rFonts w:cstheme="minorHAnsi"/>
          <w:sz w:val="24"/>
          <w:szCs w:val="24"/>
        </w:rPr>
      </w:pPr>
      <w:bookmarkStart w:id="0" w:name="_GoBack"/>
      <w:proofErr w:type="spellStart"/>
      <w:r w:rsidRPr="00AA6C21">
        <w:rPr>
          <w:rFonts w:cstheme="minorHAnsi"/>
          <w:i/>
          <w:sz w:val="24"/>
          <w:szCs w:val="24"/>
        </w:rPr>
        <w:t>Nordliger</w:t>
      </w:r>
      <w:proofErr w:type="spellEnd"/>
      <w:r w:rsidRPr="00AA6C21">
        <w:rPr>
          <w:rFonts w:cstheme="minorHAnsi"/>
          <w:i/>
          <w:sz w:val="24"/>
          <w:szCs w:val="24"/>
        </w:rPr>
        <w:t xml:space="preserve"> v. Hahn</w:t>
      </w:r>
      <w:r w:rsidR="0030481C">
        <w:rPr>
          <w:rFonts w:cstheme="minorHAnsi"/>
          <w:i/>
          <w:sz w:val="24"/>
          <w:szCs w:val="24"/>
        </w:rPr>
        <w:t xml:space="preserve"> Case Brief</w:t>
      </w:r>
    </w:p>
    <w:bookmarkEnd w:id="0"/>
    <w:p w:rsidR="00AA6C21" w:rsidRPr="00AA6C21" w:rsidRDefault="00AA6C21" w:rsidP="00AA6C21">
      <w:pPr>
        <w:spacing w:after="0"/>
        <w:rPr>
          <w:rFonts w:cstheme="minorHAnsi"/>
          <w:sz w:val="24"/>
          <w:szCs w:val="24"/>
        </w:rPr>
      </w:pPr>
    </w:p>
    <w:p w:rsidR="001E461F" w:rsidRPr="00AA6C21" w:rsidRDefault="00434B47" w:rsidP="00AA6C21">
      <w:pPr>
        <w:spacing w:after="0"/>
        <w:rPr>
          <w:rFonts w:cstheme="minorHAnsi"/>
          <w:sz w:val="24"/>
          <w:szCs w:val="24"/>
        </w:rPr>
      </w:pPr>
      <w:r w:rsidRPr="00AA6C21">
        <w:rPr>
          <w:rFonts w:cstheme="minorHAnsi"/>
          <w:sz w:val="24"/>
          <w:szCs w:val="24"/>
        </w:rPr>
        <w:t>Facts:</w:t>
      </w:r>
    </w:p>
    <w:p w:rsidR="00AA6C21" w:rsidRPr="00AA6C21" w:rsidRDefault="00AA6C21" w:rsidP="00AA6C21">
      <w:pPr>
        <w:spacing w:after="0"/>
        <w:rPr>
          <w:rFonts w:cstheme="minorHAnsi"/>
          <w:sz w:val="24"/>
          <w:szCs w:val="24"/>
        </w:rPr>
      </w:pPr>
    </w:p>
    <w:p w:rsidR="00434B47" w:rsidRPr="00AA6C21" w:rsidRDefault="00434B47" w:rsidP="00AA6C21">
      <w:pPr>
        <w:spacing w:after="0"/>
        <w:rPr>
          <w:rFonts w:cstheme="minorHAnsi"/>
          <w:sz w:val="24"/>
          <w:szCs w:val="24"/>
        </w:rPr>
      </w:pPr>
      <w:r w:rsidRPr="00AA6C21">
        <w:rPr>
          <w:rFonts w:cstheme="minorHAnsi"/>
          <w:sz w:val="24"/>
          <w:szCs w:val="24"/>
        </w:rPr>
        <w:t xml:space="preserve">Petitioner </w:t>
      </w:r>
      <w:r w:rsidR="00B90184" w:rsidRPr="00AA6C21">
        <w:rPr>
          <w:rFonts w:cstheme="minorHAnsi"/>
          <w:sz w:val="24"/>
          <w:szCs w:val="24"/>
        </w:rPr>
        <w:t xml:space="preserve">Stephanie </w:t>
      </w:r>
      <w:proofErr w:type="spellStart"/>
      <w:r w:rsidR="00B90184" w:rsidRPr="00AA6C21">
        <w:rPr>
          <w:rFonts w:cstheme="minorHAnsi"/>
          <w:sz w:val="24"/>
          <w:szCs w:val="24"/>
        </w:rPr>
        <w:t>Nordlinger</w:t>
      </w:r>
      <w:proofErr w:type="spellEnd"/>
      <w:r w:rsidR="00B90184" w:rsidRPr="00AA6C21">
        <w:rPr>
          <w:rFonts w:cstheme="minorHAnsi"/>
          <w:sz w:val="24"/>
          <w:szCs w:val="24"/>
        </w:rPr>
        <w:t xml:space="preserve"> purchased a home in Los Angeles </w:t>
      </w:r>
      <w:proofErr w:type="gramStart"/>
      <w:r w:rsidR="00B90184" w:rsidRPr="00AA6C21">
        <w:rPr>
          <w:rFonts w:cstheme="minorHAnsi"/>
          <w:sz w:val="24"/>
          <w:szCs w:val="24"/>
        </w:rPr>
        <w:t>county</w:t>
      </w:r>
      <w:proofErr w:type="gramEnd"/>
      <w:r w:rsidR="00B90184" w:rsidRPr="00AA6C21">
        <w:rPr>
          <w:rFonts w:cstheme="minorHAnsi"/>
          <w:sz w:val="24"/>
          <w:szCs w:val="24"/>
        </w:rPr>
        <w:t xml:space="preserve"> for $170,000. </w:t>
      </w:r>
      <w:r w:rsidR="0052530F" w:rsidRPr="00AA6C21">
        <w:rPr>
          <w:rFonts w:cstheme="minorHAnsi"/>
          <w:sz w:val="24"/>
          <w:szCs w:val="24"/>
        </w:rPr>
        <w:t>In early 1989, petitioner received a notice from the Los Angeles County Tax Assessor, who is a respondent here, informing her that her home had been reassessed upward to $170,100 on account of its change in ownership (</w:t>
      </w:r>
      <w:proofErr w:type="spellStart"/>
      <w:r w:rsidR="0052530F" w:rsidRPr="00F91F73">
        <w:rPr>
          <w:rFonts w:cstheme="minorHAnsi"/>
          <w:i/>
          <w:sz w:val="24"/>
          <w:szCs w:val="24"/>
        </w:rPr>
        <w:t>Nordlinger</w:t>
      </w:r>
      <w:proofErr w:type="spellEnd"/>
      <w:r w:rsidR="0052530F" w:rsidRPr="00F91F73">
        <w:rPr>
          <w:rFonts w:cstheme="minorHAnsi"/>
          <w:i/>
          <w:sz w:val="24"/>
          <w:szCs w:val="24"/>
        </w:rPr>
        <w:t xml:space="preserve"> V. Hahn</w:t>
      </w:r>
      <w:r w:rsidR="0052530F" w:rsidRPr="00AA6C21">
        <w:rPr>
          <w:rFonts w:cstheme="minorHAnsi"/>
          <w:sz w:val="24"/>
          <w:szCs w:val="24"/>
        </w:rPr>
        <w:t>). The resulting property tax increased by 36% upon reassessment due to the ownership change. Petitioner brought suit against the Los A</w:t>
      </w:r>
      <w:r w:rsidR="0027152B" w:rsidRPr="00AA6C21">
        <w:rPr>
          <w:rFonts w:cstheme="minorHAnsi"/>
          <w:sz w:val="24"/>
          <w:szCs w:val="24"/>
        </w:rPr>
        <w:t xml:space="preserve">ngeles County Superior Court on the basis of challenging the constitutionality of Proposition 13, specifically Article XIIIA. After exhausting all appeals, the Supreme Court granted </w:t>
      </w:r>
      <w:proofErr w:type="spellStart"/>
      <w:r w:rsidR="0027152B" w:rsidRPr="00AA6C21">
        <w:rPr>
          <w:rFonts w:cstheme="minorHAnsi"/>
          <w:sz w:val="24"/>
          <w:szCs w:val="24"/>
        </w:rPr>
        <w:t>centiorari</w:t>
      </w:r>
      <w:proofErr w:type="spellEnd"/>
      <w:r w:rsidR="0027152B" w:rsidRPr="00AA6C21">
        <w:rPr>
          <w:rFonts w:cstheme="minorHAnsi"/>
          <w:sz w:val="24"/>
          <w:szCs w:val="24"/>
        </w:rPr>
        <w:t xml:space="preserve"> to rule as to whether </w:t>
      </w:r>
      <w:proofErr w:type="spellStart"/>
      <w:r w:rsidR="0027152B" w:rsidRPr="00AA6C21">
        <w:rPr>
          <w:rFonts w:cstheme="minorHAnsi"/>
          <w:sz w:val="24"/>
          <w:szCs w:val="24"/>
        </w:rPr>
        <w:t>Propostion</w:t>
      </w:r>
      <w:proofErr w:type="spellEnd"/>
      <w:r w:rsidR="0027152B" w:rsidRPr="00AA6C21">
        <w:rPr>
          <w:rFonts w:cstheme="minorHAnsi"/>
          <w:sz w:val="24"/>
          <w:szCs w:val="24"/>
        </w:rPr>
        <w:t xml:space="preserve"> violated the Equal Protection Clause</w:t>
      </w:r>
      <w:r w:rsidR="009C0854" w:rsidRPr="00AA6C21">
        <w:rPr>
          <w:rFonts w:cstheme="minorHAnsi"/>
          <w:sz w:val="24"/>
          <w:szCs w:val="24"/>
        </w:rPr>
        <w:t xml:space="preserve"> of the Fourteenth Amendment</w:t>
      </w:r>
      <w:r w:rsidR="0027152B" w:rsidRPr="00AA6C21">
        <w:rPr>
          <w:rFonts w:cstheme="minorHAnsi"/>
          <w:sz w:val="24"/>
          <w:szCs w:val="24"/>
        </w:rPr>
        <w:t xml:space="preserve">. </w:t>
      </w:r>
    </w:p>
    <w:p w:rsidR="00AA6C21" w:rsidRPr="00AA6C21" w:rsidRDefault="00AA6C21" w:rsidP="00AA6C21">
      <w:pPr>
        <w:spacing w:after="0"/>
        <w:rPr>
          <w:rFonts w:cstheme="minorHAnsi"/>
          <w:sz w:val="24"/>
          <w:szCs w:val="24"/>
        </w:rPr>
      </w:pPr>
    </w:p>
    <w:p w:rsidR="00434B47" w:rsidRPr="00AA6C21" w:rsidRDefault="00434B47" w:rsidP="00AA6C21">
      <w:pPr>
        <w:spacing w:after="0"/>
        <w:rPr>
          <w:rFonts w:cstheme="minorHAnsi"/>
          <w:sz w:val="24"/>
          <w:szCs w:val="24"/>
        </w:rPr>
      </w:pPr>
      <w:r w:rsidRPr="00AA6C21">
        <w:rPr>
          <w:rFonts w:cstheme="minorHAnsi"/>
          <w:sz w:val="24"/>
          <w:szCs w:val="24"/>
        </w:rPr>
        <w:t>Law:</w:t>
      </w:r>
    </w:p>
    <w:p w:rsidR="00AA6C21" w:rsidRPr="00AA6C21" w:rsidRDefault="00AA6C21" w:rsidP="00AA6C21">
      <w:pPr>
        <w:spacing w:after="0"/>
        <w:rPr>
          <w:rFonts w:cstheme="minorHAnsi"/>
          <w:sz w:val="24"/>
          <w:szCs w:val="24"/>
        </w:rPr>
      </w:pPr>
    </w:p>
    <w:p w:rsidR="00902A1E" w:rsidRPr="00AA6C21" w:rsidRDefault="00902A1E" w:rsidP="00AA6C21">
      <w:pPr>
        <w:spacing w:after="0"/>
        <w:rPr>
          <w:rFonts w:cstheme="minorHAnsi"/>
          <w:sz w:val="24"/>
          <w:szCs w:val="24"/>
        </w:rPr>
      </w:pPr>
      <w:r w:rsidRPr="00AA6C21">
        <w:rPr>
          <w:rFonts w:cstheme="minorHAnsi"/>
          <w:sz w:val="24"/>
          <w:szCs w:val="24"/>
        </w:rPr>
        <w:t>Proposition 13, adopted in 1978, served to impose strict limits at which real property is taxed and sets limits on future increases. The adoption of Proposition 13 served to amend the California constitution. Proposition 13 limits the maximum amount of any ad valorem tax on real property to not exceed one percent (1%). Furthermore, the full cash taxable value</w:t>
      </w:r>
      <w:r w:rsidR="00B90184" w:rsidRPr="00AA6C21">
        <w:rPr>
          <w:rFonts w:cstheme="minorHAnsi"/>
          <w:sz w:val="24"/>
          <w:szCs w:val="24"/>
        </w:rPr>
        <w:t xml:space="preserve"> (§ 1(a))</w:t>
      </w:r>
      <w:r w:rsidRPr="00AA6C21">
        <w:rPr>
          <w:rFonts w:cstheme="minorHAnsi"/>
          <w:sz w:val="24"/>
          <w:szCs w:val="24"/>
        </w:rPr>
        <w:t xml:space="preserve"> of property may not increase more than the inflationary rate or two percent (2</w:t>
      </w:r>
      <w:r w:rsidR="00F91F73">
        <w:rPr>
          <w:rFonts w:cstheme="minorHAnsi"/>
          <w:sz w:val="24"/>
          <w:szCs w:val="24"/>
        </w:rPr>
        <w:t>%) in subsequent years. Certain</w:t>
      </w:r>
      <w:r w:rsidR="00DD12BF" w:rsidRPr="00AA6C21">
        <w:rPr>
          <w:rFonts w:cstheme="minorHAnsi"/>
          <w:sz w:val="24"/>
          <w:szCs w:val="24"/>
        </w:rPr>
        <w:t xml:space="preserve"> bonded indebtedness incurred by public schools may increase the property tax assessment, so long as fifty-five percent (55%) of the given district approve such a measure. </w:t>
      </w:r>
    </w:p>
    <w:p w:rsidR="00DC4233" w:rsidRDefault="00DC4233" w:rsidP="00AA6C21">
      <w:pPr>
        <w:spacing w:after="0"/>
        <w:rPr>
          <w:rFonts w:cstheme="minorHAnsi"/>
          <w:sz w:val="24"/>
          <w:szCs w:val="24"/>
        </w:rPr>
      </w:pPr>
    </w:p>
    <w:p w:rsidR="001E461F" w:rsidRPr="00AA6C21" w:rsidRDefault="009C0854" w:rsidP="00AA6C21">
      <w:pPr>
        <w:spacing w:after="0"/>
        <w:rPr>
          <w:rFonts w:cstheme="minorHAnsi"/>
          <w:sz w:val="24"/>
          <w:szCs w:val="24"/>
        </w:rPr>
      </w:pPr>
      <w:r w:rsidRPr="00AA6C21">
        <w:rPr>
          <w:rFonts w:cstheme="minorHAnsi"/>
          <w:sz w:val="24"/>
          <w:szCs w:val="24"/>
        </w:rPr>
        <w:t>Analysis:</w:t>
      </w:r>
    </w:p>
    <w:p w:rsidR="00BD2AF3" w:rsidRPr="00AA6C21" w:rsidRDefault="009C0854" w:rsidP="00AA6C21">
      <w:pPr>
        <w:pStyle w:val="NormalWeb"/>
        <w:shd w:val="clear" w:color="auto" w:fill="FFFFFF"/>
        <w:spacing w:after="0" w:afterAutospacing="0"/>
        <w:rPr>
          <w:rFonts w:asciiTheme="minorHAnsi" w:hAnsiTheme="minorHAnsi" w:cstheme="minorHAnsi"/>
        </w:rPr>
      </w:pPr>
      <w:r w:rsidRPr="00AA6C21">
        <w:rPr>
          <w:rFonts w:asciiTheme="minorHAnsi" w:hAnsiTheme="minorHAnsi" w:cstheme="minorHAnsi"/>
        </w:rPr>
        <w:t>The court found that the Equal Protection Clause does not forbid classifications so long as such a classification rationally further a legitimate</w:t>
      </w:r>
      <w:r w:rsidR="00BD2AF3" w:rsidRPr="00AA6C21">
        <w:rPr>
          <w:rFonts w:asciiTheme="minorHAnsi" w:hAnsiTheme="minorHAnsi" w:cstheme="minorHAnsi"/>
        </w:rPr>
        <w:t xml:space="preserve"> state interest, citing , </w:t>
      </w:r>
      <w:hyperlink r:id="rId5" w:history="1">
        <w:r w:rsidR="00BD2AF3" w:rsidRPr="00F91F73">
          <w:rPr>
            <w:rFonts w:asciiTheme="minorHAnsi" w:hAnsiTheme="minorHAnsi" w:cstheme="minorHAnsi"/>
            <w:i/>
          </w:rPr>
          <w:t>Cleburne v. Cleburne Living Center, Inc</w:t>
        </w:r>
        <w:r w:rsidR="00BD2AF3" w:rsidRPr="00AA6C21">
          <w:rPr>
            <w:rFonts w:asciiTheme="minorHAnsi" w:hAnsiTheme="minorHAnsi" w:cstheme="minorHAnsi"/>
          </w:rPr>
          <w:t>., 473 U. S. 432, 439-441 (1985)</w:t>
        </w:r>
      </w:hyperlink>
      <w:r w:rsidR="00BD2AF3" w:rsidRPr="00AA6C21">
        <w:rPr>
          <w:rFonts w:asciiTheme="minorHAnsi" w:hAnsiTheme="minorHAnsi" w:cstheme="minorHAnsi"/>
        </w:rPr>
        <w:t>; </w:t>
      </w:r>
      <w:hyperlink r:id="rId6" w:history="1">
        <w:r w:rsidR="00BD2AF3" w:rsidRPr="00F91F73">
          <w:rPr>
            <w:rFonts w:asciiTheme="minorHAnsi" w:hAnsiTheme="minorHAnsi" w:cstheme="minorHAnsi"/>
            <w:i/>
          </w:rPr>
          <w:t>New Orleans v. Dukes</w:t>
        </w:r>
        <w:r w:rsidR="00BD2AF3" w:rsidRPr="00AA6C21">
          <w:rPr>
            <w:rFonts w:asciiTheme="minorHAnsi" w:hAnsiTheme="minorHAnsi" w:cstheme="minorHAnsi"/>
          </w:rPr>
          <w:t>, 427 U. S. 297, 303 (1976)</w:t>
        </w:r>
      </w:hyperlink>
      <w:r w:rsidR="00BD2AF3" w:rsidRPr="00AA6C21">
        <w:rPr>
          <w:rFonts w:asciiTheme="minorHAnsi" w:hAnsiTheme="minorHAnsi" w:cstheme="minorHAnsi"/>
        </w:rPr>
        <w:t>. The Supreme Court ruling largely upheld the character of Article XIIIA as an “acquisition value” system in which the California Court Of Appeal established that Article XIIIA “survived equal protection review, because it was supported by at least two rational bases: First, it prevented property taxes from reflecting unduly inflated and unforeseen current values, and, second, it allowed property owners to estimate future liability with substantial certainty.” </w:t>
      </w:r>
      <w:hyperlink r:id="rId7" w:history="1">
        <w:r w:rsidR="00BD2AF3" w:rsidRPr="00AA6C21">
          <w:rPr>
            <w:rFonts w:asciiTheme="minorHAnsi" w:hAnsiTheme="minorHAnsi" w:cstheme="minorHAnsi"/>
          </w:rPr>
          <w:t xml:space="preserve">225 Cal. App. 3d, at 1273, 275 Cal. </w:t>
        </w:r>
        <w:proofErr w:type="spellStart"/>
        <w:r w:rsidR="00BD2AF3" w:rsidRPr="00AA6C21">
          <w:rPr>
            <w:rFonts w:asciiTheme="minorHAnsi" w:hAnsiTheme="minorHAnsi" w:cstheme="minorHAnsi"/>
          </w:rPr>
          <w:t>Rptr</w:t>
        </w:r>
        <w:proofErr w:type="spellEnd"/>
        <w:r w:rsidR="00BD2AF3" w:rsidRPr="00AA6C21">
          <w:rPr>
            <w:rFonts w:asciiTheme="minorHAnsi" w:hAnsiTheme="minorHAnsi" w:cstheme="minorHAnsi"/>
          </w:rPr>
          <w:t>., at 691-692</w:t>
        </w:r>
      </w:hyperlink>
      <w:r w:rsidR="00BD2AF3" w:rsidRPr="00AA6C21">
        <w:rPr>
          <w:rFonts w:asciiTheme="minorHAnsi" w:hAnsiTheme="minorHAnsi" w:cstheme="minorHAnsi"/>
        </w:rPr>
        <w:t> (citing </w:t>
      </w:r>
      <w:hyperlink r:id="rId8" w:history="1">
        <w:r w:rsidR="00BD2AF3" w:rsidRPr="005D0213">
          <w:rPr>
            <w:rFonts w:asciiTheme="minorHAnsi" w:hAnsiTheme="minorHAnsi" w:cstheme="minorHAnsi"/>
            <w:i/>
          </w:rPr>
          <w:t>Amador</w:t>
        </w:r>
        <w:r w:rsidR="00BD2AF3" w:rsidRPr="00AA6C21">
          <w:rPr>
            <w:rFonts w:asciiTheme="minorHAnsi" w:hAnsiTheme="minorHAnsi" w:cstheme="minorHAnsi"/>
          </w:rPr>
          <w:t>, 22 Cal. 3d, at 235, 583 P. 2d, at 1293</w:t>
        </w:r>
      </w:hyperlink>
      <w:r w:rsidR="00BD2AF3" w:rsidRPr="00AA6C21">
        <w:rPr>
          <w:rFonts w:asciiTheme="minorHAnsi" w:hAnsiTheme="minorHAnsi" w:cstheme="minorHAnsi"/>
        </w:rPr>
        <w:t>).</w:t>
      </w:r>
    </w:p>
    <w:p w:rsidR="009C0854" w:rsidRDefault="00BD2AF3" w:rsidP="00AA6C21">
      <w:pPr>
        <w:spacing w:after="0"/>
        <w:rPr>
          <w:rFonts w:cstheme="minorHAnsi"/>
          <w:sz w:val="24"/>
          <w:szCs w:val="24"/>
        </w:rPr>
      </w:pPr>
      <w:r w:rsidRPr="00AA6C21">
        <w:rPr>
          <w:rFonts w:cstheme="minorHAnsi"/>
          <w:sz w:val="24"/>
          <w:szCs w:val="24"/>
        </w:rPr>
        <w:t>Conclusion:</w:t>
      </w:r>
    </w:p>
    <w:p w:rsidR="00AA6C21" w:rsidRPr="00AA6C21" w:rsidRDefault="00AA6C21" w:rsidP="00AA6C21">
      <w:pPr>
        <w:spacing w:after="0"/>
        <w:rPr>
          <w:rFonts w:cstheme="minorHAnsi"/>
          <w:sz w:val="24"/>
          <w:szCs w:val="24"/>
        </w:rPr>
      </w:pPr>
    </w:p>
    <w:p w:rsidR="009A0372" w:rsidRPr="00AA6C21" w:rsidRDefault="009A0372" w:rsidP="00AA6C21">
      <w:pPr>
        <w:spacing w:after="0"/>
        <w:rPr>
          <w:rFonts w:cstheme="minorHAnsi"/>
          <w:sz w:val="24"/>
          <w:szCs w:val="24"/>
        </w:rPr>
      </w:pPr>
      <w:proofErr w:type="spellStart"/>
      <w:r w:rsidRPr="00AA6C21">
        <w:rPr>
          <w:rFonts w:cstheme="minorHAnsi"/>
          <w:i/>
          <w:sz w:val="24"/>
          <w:szCs w:val="24"/>
        </w:rPr>
        <w:lastRenderedPageBreak/>
        <w:t>Nordliger</w:t>
      </w:r>
      <w:proofErr w:type="spellEnd"/>
      <w:r w:rsidRPr="00AA6C21">
        <w:rPr>
          <w:rFonts w:cstheme="minorHAnsi"/>
          <w:i/>
          <w:sz w:val="24"/>
          <w:szCs w:val="24"/>
        </w:rPr>
        <w:t xml:space="preserve"> v. Hahn</w:t>
      </w:r>
      <w:r w:rsidRPr="00AA6C21">
        <w:rPr>
          <w:rFonts w:cstheme="minorHAnsi"/>
          <w:sz w:val="24"/>
          <w:szCs w:val="24"/>
        </w:rPr>
        <w:t xml:space="preserve"> solidified the constitutionality of a highly controversial California law. The </w:t>
      </w:r>
      <w:proofErr w:type="gramStart"/>
      <w:r w:rsidRPr="00AA6C21">
        <w:rPr>
          <w:rFonts w:cstheme="minorHAnsi"/>
          <w:sz w:val="24"/>
          <w:szCs w:val="24"/>
        </w:rPr>
        <w:t xml:space="preserve">results of </w:t>
      </w:r>
      <w:proofErr w:type="spellStart"/>
      <w:r w:rsidRPr="00AA6C21">
        <w:rPr>
          <w:rFonts w:cstheme="minorHAnsi"/>
          <w:sz w:val="24"/>
          <w:szCs w:val="24"/>
        </w:rPr>
        <w:t>Propostion</w:t>
      </w:r>
      <w:proofErr w:type="spellEnd"/>
      <w:r w:rsidRPr="00AA6C21">
        <w:rPr>
          <w:rFonts w:cstheme="minorHAnsi"/>
          <w:sz w:val="24"/>
          <w:szCs w:val="24"/>
        </w:rPr>
        <w:t xml:space="preserve"> 13 has</w:t>
      </w:r>
      <w:proofErr w:type="gramEnd"/>
      <w:r w:rsidRPr="00AA6C21">
        <w:rPr>
          <w:rFonts w:cstheme="minorHAnsi"/>
          <w:sz w:val="24"/>
          <w:szCs w:val="24"/>
        </w:rPr>
        <w:t xml:space="preserve"> been a drastic disparity of property tax paid by Californians. The court, however, affirmed that such a basis for taxation is “rational” and therefore does not violate the Equal Protection Clause. The court sites precedence for such a constitutional basis. However, </w:t>
      </w:r>
      <w:r w:rsidRPr="00AA6C21">
        <w:rPr>
          <w:rStyle w:val="apple-style-span"/>
          <w:rFonts w:cstheme="minorHAnsi"/>
          <w:color w:val="000000"/>
          <w:sz w:val="24"/>
          <w:szCs w:val="24"/>
          <w:shd w:val="clear" w:color="auto" w:fill="FFFFFF"/>
        </w:rPr>
        <w:t>Justice Stevens did express his dissent. Proposition 13 has perpetuated and is held as a political “third rail</w:t>
      </w:r>
      <w:r w:rsidR="00F323B1" w:rsidRPr="00AA6C21">
        <w:rPr>
          <w:rStyle w:val="apple-style-span"/>
          <w:rFonts w:cstheme="minorHAnsi"/>
          <w:color w:val="000000"/>
          <w:sz w:val="24"/>
          <w:szCs w:val="24"/>
          <w:shd w:val="clear" w:color="auto" w:fill="FFFFFF"/>
        </w:rPr>
        <w:t>,</w:t>
      </w:r>
      <w:r w:rsidRPr="00AA6C21">
        <w:rPr>
          <w:rStyle w:val="apple-style-span"/>
          <w:rFonts w:cstheme="minorHAnsi"/>
          <w:color w:val="000000"/>
          <w:sz w:val="24"/>
          <w:szCs w:val="24"/>
          <w:shd w:val="clear" w:color="auto" w:fill="FFFFFF"/>
        </w:rPr>
        <w:t>”</w:t>
      </w:r>
      <w:r w:rsidR="00F323B1" w:rsidRPr="00AA6C21">
        <w:rPr>
          <w:rStyle w:val="apple-style-span"/>
          <w:rFonts w:cstheme="minorHAnsi"/>
          <w:color w:val="000000"/>
          <w:sz w:val="24"/>
          <w:szCs w:val="24"/>
          <w:shd w:val="clear" w:color="auto" w:fill="FFFFFF"/>
        </w:rPr>
        <w:t xml:space="preserve"> untouchable for serious discussion. The result of upholding </w:t>
      </w:r>
      <w:proofErr w:type="spellStart"/>
      <w:r w:rsidR="00F323B1" w:rsidRPr="00AA6C21">
        <w:rPr>
          <w:rStyle w:val="apple-style-span"/>
          <w:rFonts w:cstheme="minorHAnsi"/>
          <w:color w:val="000000"/>
          <w:sz w:val="24"/>
          <w:szCs w:val="24"/>
          <w:shd w:val="clear" w:color="auto" w:fill="FFFFFF"/>
        </w:rPr>
        <w:t>Propostion</w:t>
      </w:r>
      <w:proofErr w:type="spellEnd"/>
      <w:r w:rsidR="00F323B1" w:rsidRPr="00AA6C21">
        <w:rPr>
          <w:rStyle w:val="apple-style-span"/>
          <w:rFonts w:cstheme="minorHAnsi"/>
          <w:color w:val="000000"/>
          <w:sz w:val="24"/>
          <w:szCs w:val="24"/>
          <w:shd w:val="clear" w:color="auto" w:fill="FFFFFF"/>
        </w:rPr>
        <w:t xml:space="preserve"> 13 has created an unprecedented disparity in the property tax bases and resulting tax for Californians. Unquestionably this law has far reaching impact on real estate values, </w:t>
      </w:r>
      <w:r w:rsidR="005D0213">
        <w:rPr>
          <w:rStyle w:val="apple-style-span"/>
          <w:rFonts w:cstheme="minorHAnsi"/>
          <w:color w:val="000000"/>
          <w:sz w:val="24"/>
          <w:szCs w:val="24"/>
          <w:shd w:val="clear" w:color="auto" w:fill="FFFFFF"/>
        </w:rPr>
        <w:t>c</w:t>
      </w:r>
      <w:r w:rsidR="00F323B1" w:rsidRPr="00AA6C21">
        <w:rPr>
          <w:rStyle w:val="apple-style-span"/>
          <w:rFonts w:cstheme="minorHAnsi"/>
          <w:color w:val="000000"/>
          <w:sz w:val="24"/>
          <w:szCs w:val="24"/>
          <w:shd w:val="clear" w:color="auto" w:fill="FFFFFF"/>
        </w:rPr>
        <w:t>ommunities, local schools, as well as state and local budgets. As the financial state of California deteriorates due to slower economies and unfunded liabilities, it will be interesting to see if this law will be questioned politically.</w:t>
      </w:r>
      <w:r w:rsidRPr="00AA6C21">
        <w:rPr>
          <w:rStyle w:val="apple-style-span"/>
          <w:rFonts w:cstheme="minorHAnsi"/>
          <w:color w:val="000000"/>
          <w:sz w:val="24"/>
          <w:szCs w:val="24"/>
          <w:shd w:val="clear" w:color="auto" w:fill="FFFFFF"/>
        </w:rPr>
        <w:t xml:space="preserve"> </w:t>
      </w:r>
      <w:r w:rsidRPr="00AA6C21">
        <w:rPr>
          <w:rFonts w:cstheme="minorHAnsi"/>
          <w:sz w:val="24"/>
          <w:szCs w:val="24"/>
        </w:rPr>
        <w:t xml:space="preserve"> </w:t>
      </w:r>
    </w:p>
    <w:p w:rsidR="00BD2AF3" w:rsidRPr="00AA6C21" w:rsidRDefault="00BD2AF3" w:rsidP="00AA6C21">
      <w:pPr>
        <w:spacing w:after="0"/>
        <w:rPr>
          <w:rFonts w:cstheme="minorHAnsi"/>
          <w:sz w:val="24"/>
          <w:szCs w:val="24"/>
        </w:rPr>
      </w:pPr>
    </w:p>
    <w:sectPr w:rsidR="00BD2AF3" w:rsidRPr="00AA6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57"/>
    <w:rsid w:val="001E461F"/>
    <w:rsid w:val="0027152B"/>
    <w:rsid w:val="002A43C9"/>
    <w:rsid w:val="0030481C"/>
    <w:rsid w:val="00434B47"/>
    <w:rsid w:val="00445AC0"/>
    <w:rsid w:val="00474961"/>
    <w:rsid w:val="0052530F"/>
    <w:rsid w:val="005D0213"/>
    <w:rsid w:val="00690555"/>
    <w:rsid w:val="006F3BE1"/>
    <w:rsid w:val="008D60C5"/>
    <w:rsid w:val="00902A1E"/>
    <w:rsid w:val="009A0372"/>
    <w:rsid w:val="009C0854"/>
    <w:rsid w:val="00AA6C21"/>
    <w:rsid w:val="00B90184"/>
    <w:rsid w:val="00B91657"/>
    <w:rsid w:val="00BD2AF3"/>
    <w:rsid w:val="00DC4233"/>
    <w:rsid w:val="00DD12BF"/>
    <w:rsid w:val="00E03037"/>
    <w:rsid w:val="00F323B1"/>
    <w:rsid w:val="00F9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2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6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B90184"/>
  </w:style>
  <w:style w:type="character" w:customStyle="1" w:styleId="Heading2Char">
    <w:name w:val="Heading 2 Char"/>
    <w:basedOn w:val="DefaultParagraphFont"/>
    <w:link w:val="Heading2"/>
    <w:uiPriority w:val="9"/>
    <w:rsid w:val="00BD2AF3"/>
    <w:rPr>
      <w:rFonts w:ascii="Times New Roman" w:eastAsia="Times New Roman" w:hAnsi="Times New Roman" w:cs="Times New Roman"/>
      <w:b/>
      <w:bCs/>
      <w:sz w:val="36"/>
      <w:szCs w:val="36"/>
    </w:rPr>
  </w:style>
  <w:style w:type="paragraph" w:styleId="NormalWeb">
    <w:name w:val="Normal (Web)"/>
    <w:basedOn w:val="Normal"/>
    <w:unhideWhenUsed/>
    <w:rsid w:val="00BD2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2AF3"/>
  </w:style>
  <w:style w:type="character" w:styleId="Hyperlink">
    <w:name w:val="Hyperlink"/>
    <w:basedOn w:val="DefaultParagraphFont"/>
    <w:uiPriority w:val="99"/>
    <w:semiHidden/>
    <w:unhideWhenUsed/>
    <w:rsid w:val="00BD2AF3"/>
    <w:rPr>
      <w:color w:val="0000FF"/>
      <w:u w:val="single"/>
    </w:rPr>
  </w:style>
  <w:style w:type="character" w:styleId="Strong">
    <w:name w:val="Strong"/>
    <w:qFormat/>
    <w:rsid w:val="00AA6C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2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6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B90184"/>
  </w:style>
  <w:style w:type="character" w:customStyle="1" w:styleId="Heading2Char">
    <w:name w:val="Heading 2 Char"/>
    <w:basedOn w:val="DefaultParagraphFont"/>
    <w:link w:val="Heading2"/>
    <w:uiPriority w:val="9"/>
    <w:rsid w:val="00BD2AF3"/>
    <w:rPr>
      <w:rFonts w:ascii="Times New Roman" w:eastAsia="Times New Roman" w:hAnsi="Times New Roman" w:cs="Times New Roman"/>
      <w:b/>
      <w:bCs/>
      <w:sz w:val="36"/>
      <w:szCs w:val="36"/>
    </w:rPr>
  </w:style>
  <w:style w:type="paragraph" w:styleId="NormalWeb">
    <w:name w:val="Normal (Web)"/>
    <w:basedOn w:val="Normal"/>
    <w:unhideWhenUsed/>
    <w:rsid w:val="00BD2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2AF3"/>
  </w:style>
  <w:style w:type="character" w:styleId="Hyperlink">
    <w:name w:val="Hyperlink"/>
    <w:basedOn w:val="DefaultParagraphFont"/>
    <w:uiPriority w:val="99"/>
    <w:semiHidden/>
    <w:unhideWhenUsed/>
    <w:rsid w:val="00BD2AF3"/>
    <w:rPr>
      <w:color w:val="0000FF"/>
      <w:u w:val="single"/>
    </w:rPr>
  </w:style>
  <w:style w:type="character" w:styleId="Strong">
    <w:name w:val="Strong"/>
    <w:qFormat/>
    <w:rsid w:val="00AA6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48310">
      <w:bodyDiv w:val="1"/>
      <w:marLeft w:val="0"/>
      <w:marRight w:val="0"/>
      <w:marTop w:val="0"/>
      <w:marBottom w:val="0"/>
      <w:divBdr>
        <w:top w:val="none" w:sz="0" w:space="0" w:color="auto"/>
        <w:left w:val="none" w:sz="0" w:space="0" w:color="auto"/>
        <w:bottom w:val="none" w:sz="0" w:space="0" w:color="auto"/>
        <w:right w:val="none" w:sz="0" w:space="0" w:color="auto"/>
      </w:divBdr>
    </w:div>
    <w:div w:id="19477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_case?case=4751771559370394843&amp;hl=en&amp;as_sdt=2,5&amp;as_vis=1" TargetMode="External"/><Relationship Id="rId3" Type="http://schemas.openxmlformats.org/officeDocument/2006/relationships/settings" Target="settings.xml"/><Relationship Id="rId7" Type="http://schemas.openxmlformats.org/officeDocument/2006/relationships/hyperlink" Target="http://scholar.google.com/scholar_case?case=4189675720663873022&amp;hl=en&amp;as_sdt=2,5&amp;as_vis=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olar.google.com/scholar_case?case=6763024761880654979&amp;hl=en&amp;as_sdt=2,5&amp;as_vis=1" TargetMode="External"/><Relationship Id="rId5" Type="http://schemas.openxmlformats.org/officeDocument/2006/relationships/hyperlink" Target="http://scholar.google.com/scholar_case?case=5414073463989452198&amp;hl=en&amp;as_sdt=2,5&amp;as_vi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dc:creator>
  <cp:lastModifiedBy>Kit</cp:lastModifiedBy>
  <cp:revision>2</cp:revision>
  <dcterms:created xsi:type="dcterms:W3CDTF">2015-01-14T09:47:00Z</dcterms:created>
  <dcterms:modified xsi:type="dcterms:W3CDTF">2015-01-14T09:47:00Z</dcterms:modified>
</cp:coreProperties>
</file>